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line="380" w:lineRule="exact"/>
        <w:ind w:firstLine="420"/>
        <w:jc w:val="both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rFonts w:hint="eastAsia" w:ascii="仿宋_GB2312" w:eastAsia="仿宋_GB2312"/>
          <w:color w:val="000000"/>
          <w:sz w:val="32"/>
          <w:szCs w:val="32"/>
        </w:rPr>
        <w:t>附件1</w:t>
      </w:r>
      <w:bookmarkEnd w:id="0"/>
      <w:bookmarkEnd w:id="1"/>
      <w:bookmarkEnd w:id="2"/>
      <w:bookmarkEnd w:id="3"/>
    </w:p>
    <w:p>
      <w:pPr>
        <w:tabs>
          <w:tab w:val="left" w:pos="3686"/>
          <w:tab w:val="left" w:pos="3969"/>
          <w:tab w:val="left" w:pos="4111"/>
        </w:tabs>
        <w:spacing w:line="360" w:lineRule="auto"/>
        <w:jc w:val="center"/>
        <w:rPr>
          <w:rFonts w:cs="宋体" w:asciiTheme="majorEastAsia" w:hAnsiTheme="majorEastAsia" w:eastAsiaTheme="majorEastAsia"/>
          <w:b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小型微型企业培育项目</w:t>
      </w:r>
      <w:r>
        <w:rPr>
          <w:rFonts w:hint="eastAsia" w:cs="宋体" w:asciiTheme="majorEastAsia" w:hAnsiTheme="majorEastAsia" w:eastAsiaTheme="majorEastAsia"/>
          <w:b/>
          <w:kern w:val="0"/>
          <w:sz w:val="44"/>
          <w:szCs w:val="44"/>
        </w:rPr>
        <w:t>评价标准（试行）</w:t>
      </w:r>
    </w:p>
    <w:p>
      <w:pPr>
        <w:pStyle w:val="3"/>
        <w:adjustRightInd w:val="0"/>
        <w:snapToGrid w:val="0"/>
        <w:spacing w:line="3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一、符合性指标</w:t>
      </w:r>
    </w:p>
    <w:tbl>
      <w:tblPr>
        <w:tblStyle w:val="10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5176"/>
        <w:gridCol w:w="20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176" w:type="dxa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指标内容</w:t>
            </w:r>
          </w:p>
        </w:tc>
        <w:tc>
          <w:tcPr>
            <w:tcW w:w="2031" w:type="dxa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</w:tcPr>
          <w:p>
            <w:pPr>
              <w:pStyle w:val="3"/>
              <w:adjustRightInd w:val="0"/>
              <w:snapToGrid w:val="0"/>
              <w:spacing w:line="38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C1</w:t>
            </w:r>
          </w:p>
        </w:tc>
        <w:tc>
          <w:tcPr>
            <w:tcW w:w="5176" w:type="dxa"/>
          </w:tcPr>
          <w:p>
            <w:pPr>
              <w:pStyle w:val="3"/>
              <w:adjustRightInd w:val="0"/>
              <w:snapToGrid w:val="0"/>
              <w:spacing w:line="38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在本市（含深汕特别合作区）注册并经营一年以上（满一个会计年度）。</w:t>
            </w:r>
          </w:p>
        </w:tc>
        <w:tc>
          <w:tcPr>
            <w:tcW w:w="2031" w:type="dxa"/>
          </w:tcPr>
          <w:p>
            <w:pPr>
              <w:pStyle w:val="3"/>
              <w:adjustRightInd w:val="0"/>
              <w:snapToGrid w:val="0"/>
              <w:spacing w:line="38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0/1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</w:tcPr>
          <w:p>
            <w:pPr>
              <w:pStyle w:val="3"/>
              <w:adjustRightInd w:val="0"/>
              <w:snapToGrid w:val="0"/>
              <w:spacing w:line="38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C2</w:t>
            </w:r>
          </w:p>
        </w:tc>
        <w:tc>
          <w:tcPr>
            <w:tcW w:w="5176" w:type="dxa"/>
          </w:tcPr>
          <w:p>
            <w:pPr>
              <w:pStyle w:val="3"/>
              <w:adjustRightInd w:val="0"/>
              <w:snapToGrid w:val="0"/>
              <w:spacing w:line="38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符合小型微型业划型标准规定。</w:t>
            </w:r>
          </w:p>
        </w:tc>
        <w:tc>
          <w:tcPr>
            <w:tcW w:w="2031" w:type="dxa"/>
          </w:tcPr>
          <w:p>
            <w:pPr>
              <w:pStyle w:val="3"/>
              <w:adjustRightInd w:val="0"/>
              <w:snapToGrid w:val="0"/>
              <w:spacing w:line="38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0/1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</w:tcPr>
          <w:p>
            <w:pPr>
              <w:pStyle w:val="3"/>
              <w:adjustRightInd w:val="0"/>
              <w:snapToGrid w:val="0"/>
              <w:spacing w:line="38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C3</w:t>
            </w:r>
          </w:p>
        </w:tc>
        <w:tc>
          <w:tcPr>
            <w:tcW w:w="5176" w:type="dxa"/>
          </w:tcPr>
          <w:p>
            <w:pPr>
              <w:pStyle w:val="3"/>
              <w:adjustRightInd w:val="0"/>
              <w:snapToGrid w:val="0"/>
              <w:spacing w:line="38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其主营产品和服务符合我市产业发展方向。</w:t>
            </w:r>
          </w:p>
        </w:tc>
        <w:tc>
          <w:tcPr>
            <w:tcW w:w="2031" w:type="dxa"/>
          </w:tcPr>
          <w:p>
            <w:pPr>
              <w:pStyle w:val="3"/>
              <w:adjustRightInd w:val="0"/>
              <w:snapToGrid w:val="0"/>
              <w:spacing w:line="38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0/1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</w:tcPr>
          <w:p>
            <w:pPr>
              <w:pStyle w:val="3"/>
              <w:adjustRightInd w:val="0"/>
              <w:snapToGrid w:val="0"/>
              <w:spacing w:line="38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C4</w:t>
            </w:r>
          </w:p>
        </w:tc>
        <w:tc>
          <w:tcPr>
            <w:tcW w:w="5176" w:type="dxa"/>
          </w:tcPr>
          <w:p>
            <w:pPr>
              <w:pStyle w:val="3"/>
              <w:adjustRightInd w:val="0"/>
              <w:snapToGrid w:val="0"/>
              <w:spacing w:line="38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近三年信用良好，无重大违法违规记录，不存在《深圳市民营及中小企业发展专项资金管理办法》第二十八条所列情况。</w:t>
            </w:r>
          </w:p>
        </w:tc>
        <w:tc>
          <w:tcPr>
            <w:tcW w:w="2031" w:type="dxa"/>
          </w:tcPr>
          <w:p>
            <w:pPr>
              <w:pStyle w:val="3"/>
              <w:adjustRightInd w:val="0"/>
              <w:snapToGrid w:val="0"/>
              <w:spacing w:line="38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0/1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</w:tcPr>
          <w:p>
            <w:pPr>
              <w:pStyle w:val="3"/>
              <w:adjustRightInd w:val="0"/>
              <w:snapToGrid w:val="0"/>
              <w:spacing w:line="38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C5</w:t>
            </w:r>
          </w:p>
        </w:tc>
        <w:tc>
          <w:tcPr>
            <w:tcW w:w="5176" w:type="dxa"/>
          </w:tcPr>
          <w:p>
            <w:pPr>
              <w:pStyle w:val="3"/>
              <w:adjustRightInd w:val="0"/>
              <w:snapToGrid w:val="0"/>
              <w:spacing w:line="38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eastAsia="仿宋_GB2312"/>
                <w:bCs/>
              </w:rPr>
              <w:t>企业产权明晰，业务独立，其经营、人员、管理、财务等具有独立性，其主要客户不是公司的关联人(包括关联法人和关联自然人)。</w:t>
            </w:r>
          </w:p>
        </w:tc>
        <w:tc>
          <w:tcPr>
            <w:tcW w:w="2031" w:type="dxa"/>
          </w:tcPr>
          <w:p>
            <w:pPr>
              <w:pStyle w:val="3"/>
              <w:adjustRightInd w:val="0"/>
              <w:snapToGrid w:val="0"/>
              <w:spacing w:line="38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0/1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</w:tcPr>
          <w:p>
            <w:pPr>
              <w:pStyle w:val="3"/>
              <w:adjustRightInd w:val="0"/>
              <w:snapToGrid w:val="0"/>
              <w:spacing w:line="38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C6</w:t>
            </w:r>
          </w:p>
        </w:tc>
        <w:tc>
          <w:tcPr>
            <w:tcW w:w="5176" w:type="dxa"/>
          </w:tcPr>
          <w:p>
            <w:pPr>
              <w:pStyle w:val="3"/>
              <w:adjustRightInd w:val="0"/>
              <w:snapToGrid w:val="0"/>
              <w:spacing w:line="38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上年度资产负债率不超过70%。</w:t>
            </w:r>
          </w:p>
        </w:tc>
        <w:tc>
          <w:tcPr>
            <w:tcW w:w="2031" w:type="dxa"/>
          </w:tcPr>
          <w:p>
            <w:pPr>
              <w:pStyle w:val="3"/>
              <w:adjustRightInd w:val="0"/>
              <w:snapToGrid w:val="0"/>
              <w:spacing w:line="38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0/1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</w:tcPr>
          <w:p>
            <w:pPr>
              <w:pStyle w:val="3"/>
              <w:adjustRightInd w:val="0"/>
              <w:snapToGrid w:val="0"/>
              <w:spacing w:line="38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C7</w:t>
            </w:r>
          </w:p>
        </w:tc>
        <w:tc>
          <w:tcPr>
            <w:tcW w:w="5176" w:type="dxa"/>
          </w:tcPr>
          <w:p>
            <w:pPr>
              <w:pStyle w:val="3"/>
              <w:adjustRightInd w:val="0"/>
              <w:snapToGrid w:val="0"/>
              <w:spacing w:line="38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拥有与主营业务有关的自主知识产权2项以上。</w:t>
            </w:r>
          </w:p>
        </w:tc>
        <w:tc>
          <w:tcPr>
            <w:tcW w:w="2031" w:type="dxa"/>
          </w:tcPr>
          <w:p>
            <w:pPr>
              <w:pStyle w:val="3"/>
              <w:adjustRightInd w:val="0"/>
              <w:snapToGrid w:val="0"/>
              <w:spacing w:line="38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0/1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</w:tcPr>
          <w:p>
            <w:pPr>
              <w:pStyle w:val="3"/>
              <w:adjustRightInd w:val="0"/>
              <w:snapToGrid w:val="0"/>
              <w:spacing w:line="38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C8</w:t>
            </w:r>
          </w:p>
        </w:tc>
        <w:tc>
          <w:tcPr>
            <w:tcW w:w="5176" w:type="dxa"/>
          </w:tcPr>
          <w:p>
            <w:pPr>
              <w:pStyle w:val="3"/>
              <w:adjustRightInd w:val="0"/>
              <w:snapToGrid w:val="0"/>
              <w:spacing w:line="38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符合</w:t>
            </w:r>
            <w:r>
              <w:rPr>
                <w:rFonts w:hint="eastAsia" w:ascii="仿宋_GB2312" w:hAnsi="仿宋" w:eastAsia="仿宋_GB2312"/>
              </w:rPr>
              <w:t>《深圳市民营及中小企业发展专项资金管理办法》相关规定。</w:t>
            </w:r>
          </w:p>
        </w:tc>
        <w:tc>
          <w:tcPr>
            <w:tcW w:w="2031" w:type="dxa"/>
          </w:tcPr>
          <w:p>
            <w:pPr>
              <w:pStyle w:val="3"/>
              <w:adjustRightInd w:val="0"/>
              <w:snapToGrid w:val="0"/>
              <w:spacing w:line="38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0/1</w:t>
            </w:r>
          </w:p>
        </w:tc>
      </w:tr>
    </w:tbl>
    <w:p>
      <w:pPr>
        <w:pStyle w:val="3"/>
        <w:adjustRightInd w:val="0"/>
        <w:snapToGrid w:val="0"/>
        <w:spacing w:line="380" w:lineRule="exact"/>
        <w:rPr>
          <w:rFonts w:ascii="仿宋_GB2312" w:eastAsia="仿宋_GB2312"/>
          <w:color w:val="000000"/>
          <w:sz w:val="32"/>
          <w:szCs w:val="32"/>
          <w:vertAlign w:val="superscript"/>
        </w:rPr>
      </w:pPr>
      <w:r>
        <w:rPr>
          <w:rFonts w:hint="eastAsia" w:ascii="黑体" w:eastAsia="黑体"/>
          <w:color w:val="000000"/>
          <w:sz w:val="32"/>
          <w:szCs w:val="32"/>
        </w:rPr>
        <w:t>二、评价性指标</w:t>
      </w:r>
    </w:p>
    <w:tbl>
      <w:tblPr>
        <w:tblStyle w:val="9"/>
        <w:tblW w:w="93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81"/>
        <w:gridCol w:w="7473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一级指标</w:t>
            </w: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二级指标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共性指标B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B1.主营业务收入增长率（（本期主营业务收入-上期主营业务收入）/上期主营业务收入）×100%）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A.5%及以下（0） B.5%-35%(0至8分之间,通过线性插值确定) C</w:t>
            </w:r>
            <w:r>
              <w:rPr>
                <w:rFonts w:hint="eastAsia" w:ascii="仿宋_GB2312" w:eastAsia="仿宋_GB2312" w:hAnsiTheme="minorHAnsi"/>
                <w:bCs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35%及以上(8)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或者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主营业务收入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Theme="minorHAnsi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A</w:t>
            </w:r>
            <w:r>
              <w:rPr>
                <w:rFonts w:hint="eastAsia" w:ascii="仿宋_GB2312" w:eastAsia="仿宋_GB2312" w:hAnsiTheme="minorHAnsi"/>
                <w:bCs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500万及以下（0） B</w:t>
            </w:r>
            <w:r>
              <w:rPr>
                <w:rFonts w:hint="eastAsia" w:ascii="仿宋_GB2312" w:eastAsia="仿宋_GB2312" w:hAnsiTheme="minorHAnsi"/>
                <w:bCs/>
                <w:kern w:val="0"/>
                <w:sz w:val="24"/>
              </w:rPr>
              <w:t>.500万-2亿元（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0至8分之间,通过线性插值确定</w:t>
            </w:r>
            <w:r>
              <w:rPr>
                <w:rFonts w:hint="eastAsia" w:ascii="仿宋_GB2312" w:eastAsia="仿宋_GB2312" w:hAnsiTheme="minorHAnsi"/>
                <w:bCs/>
                <w:kern w:val="0"/>
                <w:sz w:val="24"/>
              </w:rPr>
              <w:t>） C.2亿及以上（8）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Theme="minorHAnsi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HAnsi"/>
                <w:bCs/>
                <w:kern w:val="0"/>
                <w:sz w:val="24"/>
              </w:rPr>
              <w:t>（在0-8分的前提下，近三年逐年递增+1；逐年递减-1）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Theme="minorHAnsi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HAnsi"/>
                <w:bCs/>
                <w:kern w:val="0"/>
                <w:sz w:val="24"/>
              </w:rPr>
              <w:t>注：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lang w:val="zh-CN"/>
              </w:rPr>
              <w:t>企业得分为以上两项指标中的最大值。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B2.扣非净利润增长率（(本期扣非净利润-上期扣非净利润)/上期扣非净利润×100%）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A.5%及以下（0） B.5%-35%（0至8分之间,通过线性插值确定</w:t>
            </w:r>
            <w:r>
              <w:rPr>
                <w:rFonts w:hint="eastAsia" w:ascii="仿宋_GB2312" w:eastAsia="仿宋_GB2312" w:hAnsiTheme="minorHAnsi"/>
                <w:bCs/>
                <w:kern w:val="0"/>
                <w:sz w:val="24"/>
              </w:rPr>
              <w:t>）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 xml:space="preserve"> C</w:t>
            </w:r>
            <w:r>
              <w:rPr>
                <w:rFonts w:hint="eastAsia" w:ascii="仿宋_GB2312" w:eastAsia="仿宋_GB2312" w:hAnsiTheme="minorHAnsi"/>
                <w:bCs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35%及以上(8)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或者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扣非净利润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A.50万及以下（0） B.50万-2000万（0至8分之间,通过线性插值确定</w:t>
            </w:r>
            <w:r>
              <w:rPr>
                <w:rFonts w:hint="eastAsia" w:ascii="仿宋_GB2312" w:eastAsia="仿宋_GB2312" w:hAnsiTheme="minorHAnsi"/>
                <w:bCs/>
                <w:kern w:val="0"/>
                <w:sz w:val="24"/>
              </w:rPr>
              <w:t>）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 xml:space="preserve"> C</w:t>
            </w:r>
            <w:r>
              <w:rPr>
                <w:rFonts w:hint="eastAsia" w:ascii="仿宋_GB2312" w:eastAsia="仿宋_GB2312" w:hAnsiTheme="minorHAnsi"/>
                <w:bCs/>
                <w:kern w:val="0"/>
                <w:sz w:val="24"/>
              </w:rPr>
              <w:t>.2000万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及以上(8)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Theme="minorHAnsi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HAnsi"/>
                <w:bCs/>
                <w:kern w:val="0"/>
                <w:sz w:val="24"/>
              </w:rPr>
              <w:t>（在0-8分的前提下，近三年逐年递增+1；逐年递减-1）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HAnsi"/>
                <w:bCs/>
                <w:kern w:val="0"/>
                <w:sz w:val="24"/>
              </w:rPr>
              <w:t>注：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lang w:val="zh-CN"/>
              </w:rPr>
              <w:t>企业得分为以上两项指标中的最大值。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仿宋_GB2312" w:hAnsi="仿宋_GB2312" w:eastAsia="仿宋_GB2312"/>
                <w:b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B3.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lang w:val="zh-CN"/>
              </w:rPr>
              <w:t>研发经费投入强度：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lang w:val="zh-CN"/>
              </w:rPr>
              <w:t>（1）企业研发费用总额占销售收入总额的比例（研发</w:t>
            </w:r>
            <w:r>
              <w:rPr>
                <w:rFonts w:ascii="仿宋_GB2312" w:hAnsi="仿宋_GB2312" w:eastAsia="仿宋_GB2312"/>
                <w:b/>
                <w:color w:val="000000"/>
                <w:sz w:val="24"/>
                <w:lang w:val="zh-CN"/>
              </w:rPr>
              <w:t>经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lang w:val="zh-CN"/>
              </w:rPr>
              <w:t>费/销售</w:t>
            </w:r>
            <w:r>
              <w:rPr>
                <w:rFonts w:ascii="仿宋_GB2312" w:hAnsi="仿宋_GB2312" w:eastAsia="仿宋_GB2312"/>
                <w:b/>
                <w:color w:val="000000"/>
                <w:sz w:val="24"/>
                <w:lang w:val="zh-CN"/>
              </w:rPr>
              <w:t>收入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×100%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lang w:val="zh-CN"/>
              </w:rPr>
              <w:t>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A. 2%及以下（0）B. 2%-12%（0至8分之间,通过线性插值确定)C</w:t>
            </w:r>
            <w:r>
              <w:rPr>
                <w:rFonts w:hint="eastAsia" w:ascii="仿宋_GB2312" w:eastAsia="仿宋_GB2312" w:hAnsiTheme="minorHAnsi"/>
                <w:bCs/>
                <w:kern w:val="0"/>
                <w:sz w:val="24"/>
              </w:rPr>
              <w:t>.12%及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以上（8）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仿宋_GB2312" w:hAnsi="仿宋_GB2312" w:eastAsia="仿宋_GB2312"/>
                <w:b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（2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lang w:val="zh-CN"/>
              </w:rPr>
              <w:t>）企业研发费用总额占成本费用支出总额的比例（研发</w:t>
            </w:r>
            <w:r>
              <w:rPr>
                <w:rFonts w:ascii="仿宋_GB2312" w:hAnsi="仿宋_GB2312" w:eastAsia="仿宋_GB2312"/>
                <w:b/>
                <w:color w:val="000000"/>
                <w:sz w:val="24"/>
                <w:lang w:val="zh-CN"/>
              </w:rPr>
              <w:t>经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lang w:val="zh-CN"/>
              </w:rPr>
              <w:t>费/费用总额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×100%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lang w:val="zh-CN"/>
              </w:rPr>
              <w:t>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仿宋_GB2312" w:eastAsia="仿宋_GB2312" w:hAnsiTheme="minorHAnsi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A. 10%及以下（0）B.10%-40%（0至8分之间,通过线性插值确定)C</w:t>
            </w:r>
            <w:r>
              <w:rPr>
                <w:rFonts w:hint="eastAsia" w:ascii="仿宋_GB2312" w:eastAsia="仿宋_GB2312" w:hAnsiTheme="minorHAnsi"/>
                <w:bCs/>
                <w:kern w:val="0"/>
                <w:sz w:val="24"/>
              </w:rPr>
              <w:t>.40%及以上（8）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lang w:val="zh-CN"/>
              </w:rPr>
              <w:t>企业得分为（1）、（2）两项指标中的最大值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B4.营业利润率（营业利润/全部业务收入×100%）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A.10%及以下（0）B</w:t>
            </w:r>
            <w:r>
              <w:rPr>
                <w:rFonts w:hint="eastAsia" w:ascii="仿宋_GB2312" w:eastAsia="仿宋_GB2312" w:hAnsiTheme="minorHAnsi"/>
                <w:bCs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10%-40%（0至6分之间,通过线性插值确定） C</w:t>
            </w:r>
            <w:r>
              <w:rPr>
                <w:rFonts w:hint="eastAsia" w:ascii="仿宋_GB2312" w:eastAsia="仿宋_GB2312" w:hAnsiTheme="minorHAnsi"/>
                <w:bCs/>
                <w:kern w:val="0"/>
                <w:sz w:val="24"/>
              </w:rPr>
              <w:t>.40%及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以上(6)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Theme="minorHAnsi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HAnsi"/>
                <w:bCs/>
                <w:kern w:val="0"/>
                <w:sz w:val="24"/>
              </w:rPr>
              <w:t>（在0-6分的前提下，近三年逐年递增+1；逐年递减-1）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注：营业利润对应审计报告中的营业利润科目，主营产品收入为0，则本项目不得分）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B5.企业主营业务毛利率（(主营业务收入-主营业务成本)/ 主营产品收入×100%</w:t>
            </w: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）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A.10%及以下（0）B</w:t>
            </w:r>
            <w:r>
              <w:rPr>
                <w:rFonts w:hint="eastAsia" w:ascii="仿宋_GB2312" w:eastAsia="仿宋_GB2312" w:hAnsiTheme="minorHAnsi"/>
                <w:bCs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10%-55%（0至6分之间,通过线性插值确定)C</w:t>
            </w:r>
            <w:r>
              <w:rPr>
                <w:rFonts w:hint="eastAsia" w:ascii="仿宋_GB2312" w:eastAsia="仿宋_GB2312" w:hAnsiTheme="minorHAnsi"/>
                <w:bCs/>
                <w:kern w:val="0"/>
                <w:sz w:val="24"/>
              </w:rPr>
              <w:t>.55%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以上(6)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（注：主营产品收入为0，则本项目不得分）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B6.研发人员占企业当年职工总数的比例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A. 20%及以下（0）B.20%-50%（0至6分之间,通过线性插值确定）C</w:t>
            </w:r>
            <w:r>
              <w:rPr>
                <w:rFonts w:hint="eastAsia" w:ascii="仿宋_GB2312" w:eastAsia="仿宋_GB2312" w:hAnsiTheme="minorHAnsi"/>
                <w:bCs/>
                <w:kern w:val="0"/>
                <w:sz w:val="24"/>
              </w:rPr>
              <w:t>.50%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以上（6）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B7.主营产品销售收入占比（主营产品销售收入/公司总销售收入×100%</w:t>
            </w: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）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A</w:t>
            </w:r>
            <w:r>
              <w:rPr>
                <w:rFonts w:hint="eastAsia" w:ascii="仿宋_GB2312" w:eastAsia="仿宋_GB2312" w:hAnsiTheme="minorHAnsi"/>
                <w:bCs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50%及以下（0）B.50-80%（0至4分之间,通过线性插值确定</w:t>
            </w:r>
            <w:r>
              <w:rPr>
                <w:rFonts w:ascii="仿宋_GB2312" w:hAnsi="宋体" w:eastAsia="仿宋_GB2312"/>
                <w:bCs/>
                <w:kern w:val="0"/>
                <w:sz w:val="24"/>
              </w:rPr>
              <w:t>）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C.80%及以上（4）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（注：主营产品收入为0，则本项目不得分）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B8.授权知识产权数量：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A.Ⅱ类2项以下（0）B.Ⅱ类3项（1） C</w:t>
            </w:r>
            <w:r>
              <w:rPr>
                <w:rFonts w:hint="eastAsia" w:ascii="仿宋_GB2312" w:eastAsia="仿宋_GB2312" w:hAnsiTheme="minorHAnsi"/>
                <w:sz w:val="24"/>
              </w:rPr>
              <w:t>.</w:t>
            </w:r>
            <w:r>
              <w:rPr>
                <w:rFonts w:hint="eastAsia" w:ascii="仿宋_GB2312" w:hAnsi="仿宋" w:eastAsia="仿宋_GB2312"/>
                <w:sz w:val="24"/>
              </w:rPr>
              <w:t>Ⅰ类1项及Ⅱ类6项以下或Ⅱ类7-10项（2）D.Ⅰ类2项以上或Ⅱ类11项以上（3）E.Ⅰ类3项以上（4）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注：发明专利、植物新品种、新药中药保护品种和集成电路布图设计为Ⅰ类，其他形式的知识产权为Ⅱ类。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HAnsi"/>
                <w:bCs/>
                <w:kern w:val="0"/>
                <w:sz w:val="24"/>
              </w:rPr>
              <w:t>（在0-4分的前提下，自主研发加1分；仅通过并购、受让或受赠的减1分）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B9.总资产收益率（</w:t>
            </w: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净利润/平均资产总额×100%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）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A.0%及以下（0） B.0%-30%（0至4分之间,通过线性插值确定) E</w:t>
            </w:r>
            <w:r>
              <w:rPr>
                <w:rFonts w:hint="eastAsia" w:ascii="仿宋_GB2312" w:eastAsia="仿宋_GB2312" w:hAnsiTheme="minorHAnsi"/>
                <w:bCs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30%及以上(4)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00" w:hRule="atLeast"/>
          <w:jc w:val="center"/>
        </w:trPr>
        <w:tc>
          <w:tcPr>
            <w:tcW w:w="1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B10.总资产周转率（</w:t>
            </w: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营业收入净额/平均资产总额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×</w:t>
            </w: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100%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）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A.60%及以下（0） B.60%-100%（0至4分之间,通过线性插值确定） C</w:t>
            </w:r>
            <w:r>
              <w:rPr>
                <w:rFonts w:hint="eastAsia" w:ascii="仿宋_GB2312" w:eastAsia="仿宋_GB2312" w:hAnsiTheme="minorHAnsi"/>
                <w:bCs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100%及以上(4)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专业化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S</w:t>
            </w: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S1.拥有专业生产设备，自行组织生产（+1）。</w:t>
            </w:r>
          </w:p>
        </w:tc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S2.企业客户数量大于5家。（+1）</w:t>
            </w:r>
          </w:p>
        </w:tc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S3.主要产品通过3C或者RHOS或者EMC等质量和安全等方面的认证（+1）</w:t>
            </w:r>
          </w:p>
        </w:tc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S4.拥有环境/EMC等可靠性实验室及相关设备（+2）</w:t>
            </w:r>
          </w:p>
        </w:tc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S5.主要客户为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行业大中型龙头骨干企业（+2）</w:t>
            </w:r>
          </w:p>
        </w:tc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S6.企业人均净利润(净利润/企业平均人数)20万以上（+3）</w:t>
            </w:r>
          </w:p>
        </w:tc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精细化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R</w:t>
            </w: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R1.通过ISO9000、</w:t>
            </w:r>
            <w:r>
              <w:rPr>
                <w:rFonts w:ascii="仿宋_GB2312" w:eastAsia="仿宋_GB2312"/>
                <w:sz w:val="24"/>
              </w:rPr>
              <w:t>ISO14001</w:t>
            </w:r>
            <w:r>
              <w:rPr>
                <w:rFonts w:hint="eastAsia" w:ascii="仿宋_GB2312" w:eastAsia="仿宋_GB2312"/>
                <w:sz w:val="24"/>
              </w:rPr>
              <w:t>、TS16949、HACCP/</w:t>
            </w:r>
            <w:r>
              <w:fldChar w:fldCharType="begin"/>
            </w:r>
            <w:r>
              <w:instrText xml:space="preserve"> HYPERLINK "https://www.baidu.com/s?wd=ISO22000&amp;tn=44039180_cpr&amp;fenlei=mv6quAkxTZn0IZRqIHckPjm4nH00T1Y3nj6snynsn16dnjNBn17b0ZwV5Hcvrjm3rH6sPfKWUMw85HfYnjn4nH6sgvPsT6KdThsqpZwYTjCEQLGCpyw9Uz4Bmy-bIi4WUvYETgN-TLwGUv3EnHbkP10vnWm3" \t "_blank" </w:instrText>
            </w:r>
            <w:r>
              <w:fldChar w:fldCharType="separate"/>
            </w:r>
            <w:r>
              <w:rPr>
                <w:rFonts w:hint="eastAsia" w:ascii="仿宋_GB2312" w:eastAsia="仿宋_GB2312"/>
                <w:sz w:val="24"/>
              </w:rPr>
              <w:t>ISO22000</w:t>
            </w:r>
            <w:r>
              <w:rPr>
                <w:rFonts w:hint="eastAsia"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>等质量安全等方面的管理体系认证（+1）</w:t>
            </w:r>
          </w:p>
        </w:tc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R2.</w:t>
            </w:r>
            <w:r>
              <w:rPr>
                <w:rFonts w:hint="eastAsia"/>
              </w:rPr>
              <w:t>通过</w:t>
            </w:r>
            <w:r>
              <w:rPr>
                <w:rFonts w:ascii="仿宋_GB2312" w:hAnsi="宋体" w:eastAsia="仿宋_GB2312"/>
                <w:bCs/>
                <w:kern w:val="0"/>
                <w:sz w:val="24"/>
              </w:rPr>
              <w:t>CMMI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3级及以上认证（3级：+1，4级及以上：+2）</w:t>
            </w:r>
          </w:p>
        </w:tc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R3.通过所在行业或产业链大中型龙头骨干企业的产品认证（+2）</w:t>
            </w:r>
          </w:p>
        </w:tc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R4.实施全面质量管理、六西格玛、精益管理等管理（+2）</w:t>
            </w:r>
          </w:p>
        </w:tc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R5.建有信息化管理系统（OA/ERP等）（+1）</w:t>
            </w:r>
          </w:p>
        </w:tc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R6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.</w:t>
            </w:r>
            <w:r>
              <w:rPr>
                <w:rFonts w:ascii="仿宋_GB2312" w:hAnsi="宋体" w:eastAsia="仿宋_GB2312"/>
                <w:bCs/>
                <w:kern w:val="0"/>
                <w:sz w:val="24"/>
              </w:rPr>
              <w:t>中高层管理人员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具有大专以上学历人员不少于5人，所占比例不小于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80%。（+2）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注：</w:t>
            </w:r>
            <w:r>
              <w:rPr>
                <w:rFonts w:ascii="仿宋_GB2312" w:eastAsia="仿宋_GB2312"/>
                <w:sz w:val="24"/>
              </w:rPr>
              <w:t>中高层管理人员</w:t>
            </w:r>
            <w:r>
              <w:rPr>
                <w:rFonts w:hint="eastAsia" w:ascii="仿宋_GB2312" w:eastAsia="仿宋_GB2312"/>
                <w:sz w:val="24"/>
              </w:rPr>
              <w:t>是指公司董事长（执行董事）、董事、监事、总经理、副总经理、财务总监、董事长助理、总经理助理、董秘及各业务部门负责人等岗位人员。</w:t>
            </w:r>
          </w:p>
        </w:tc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特色化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D</w:t>
            </w: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D1.拥有注册商标1件及以上（+1）</w:t>
            </w:r>
          </w:p>
        </w:tc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D2.注册商标为广东省著名商标或中国驰名商标（省+1，国家+2）</w:t>
            </w:r>
          </w:p>
        </w:tc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D3.产品（技术）属于环境、环保、原产地、地理等标志性产品（技术）(+1)</w:t>
            </w:r>
          </w:p>
        </w:tc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D4.获得国家、省、市、区品牌类相关资助的（+1）</w:t>
            </w:r>
          </w:p>
        </w:tc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D5.企业获得国家工信部品牌培育试点、示范企业称号（+2）</w:t>
            </w:r>
          </w:p>
        </w:tc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D6.获得国家、省、市品牌及质量类相关奖励的（国家+3、省市+2）</w:t>
            </w:r>
          </w:p>
        </w:tc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创新性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I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eastAsia="仿宋_GB2312" w:hAnsiTheme="minorHAnsi"/>
                <w:sz w:val="24"/>
              </w:rPr>
              <w:t>I1.属于国家或市级高新技术企业(+1)</w:t>
            </w:r>
          </w:p>
        </w:tc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仿宋_GB2312" w:eastAsia="仿宋_GB2312" w:hAnsiTheme="minorHAnsi"/>
                <w:sz w:val="24"/>
              </w:rPr>
            </w:pPr>
            <w:r>
              <w:rPr>
                <w:rFonts w:hint="eastAsia" w:ascii="仿宋_GB2312" w:eastAsia="仿宋_GB2312" w:hAnsiTheme="minorHAnsi"/>
                <w:sz w:val="24"/>
              </w:rPr>
              <w:t>I2.</w:t>
            </w:r>
            <w:r>
              <w:rPr>
                <w:rFonts w:ascii="仿宋_GB2312" w:eastAsia="仿宋_GB2312" w:hAnsiTheme="minorHAnsi"/>
                <w:sz w:val="24"/>
              </w:rPr>
              <w:t>参加国家、地方、行业技术标准的编写和修订</w:t>
            </w:r>
            <w:r>
              <w:rPr>
                <w:rFonts w:hint="eastAsia" w:ascii="仿宋_GB2312" w:eastAsia="仿宋_GB2312" w:hAnsiTheme="minorHAnsi"/>
                <w:sz w:val="24"/>
              </w:rPr>
              <w:t>(+1)</w:t>
            </w:r>
          </w:p>
        </w:tc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仿宋_GB2312" w:eastAsia="仿宋_GB2312" w:hAnsiTheme="minorHAnsi"/>
                <w:sz w:val="24"/>
              </w:rPr>
            </w:pPr>
            <w:r>
              <w:rPr>
                <w:rFonts w:hint="eastAsia" w:ascii="仿宋_GB2312" w:eastAsia="仿宋_GB2312" w:hAnsiTheme="minorHAnsi"/>
                <w:sz w:val="24"/>
              </w:rPr>
              <w:t>I3.获得国家、省、市创新类资助(+1)</w:t>
            </w:r>
          </w:p>
        </w:tc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仿宋_GB2312" w:eastAsia="仿宋_GB2312" w:hAnsiTheme="minorHAnsi"/>
                <w:sz w:val="24"/>
              </w:rPr>
            </w:pPr>
            <w:r>
              <w:rPr>
                <w:rFonts w:hint="eastAsia" w:ascii="仿宋_GB2312" w:eastAsia="仿宋_GB2312" w:hAnsiTheme="minorHAnsi"/>
                <w:sz w:val="24"/>
              </w:rPr>
              <w:t>I4.国家、省、市创新创业大赛获奖企业(国家+2、省市+1)</w:t>
            </w:r>
          </w:p>
        </w:tc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仿宋_GB2312" w:eastAsia="仿宋_GB2312" w:hAnsiTheme="minorHAnsi"/>
                <w:sz w:val="24"/>
              </w:rPr>
            </w:pPr>
            <w:r>
              <w:rPr>
                <w:rFonts w:hint="eastAsia" w:ascii="仿宋_GB2312" w:eastAsia="仿宋_GB2312" w:hAnsiTheme="minorHAnsi"/>
                <w:sz w:val="24"/>
              </w:rPr>
              <w:t>I5.获得国家、省、市科学技术奖励企业(国家+2、省市+1)</w:t>
            </w:r>
          </w:p>
        </w:tc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仿宋_GB2312" w:eastAsia="仿宋_GB2312" w:hAnsiTheme="minorHAnsi"/>
                <w:sz w:val="24"/>
              </w:rPr>
            </w:pPr>
            <w:r>
              <w:rPr>
                <w:rFonts w:hint="eastAsia" w:ascii="仿宋_GB2312" w:eastAsia="仿宋_GB2312" w:hAnsiTheme="minorHAnsi"/>
                <w:sz w:val="24"/>
              </w:rPr>
              <w:t>I6.市知识产权优势企业(+1)</w:t>
            </w:r>
          </w:p>
        </w:tc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仿宋_GB2312" w:eastAsia="仿宋_GB2312" w:hAnsiTheme="minorHAnsi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I7.拥有通过国家或省、市认定的技术开发机构(国家+2、省市+1)</w:t>
            </w:r>
          </w:p>
        </w:tc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  <w:jc w:val="center"/>
        </w:trPr>
        <w:tc>
          <w:tcPr>
            <w:tcW w:w="10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加分项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M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仿宋_GB2312" w:eastAsia="仿宋_GB2312" w:hAnsiTheme="minorHAnsi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M1.属于上市培育重点企业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7" w:hRule="atLeast"/>
          <w:jc w:val="center"/>
        </w:trPr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M2.属于各区（新区）、市直部门推荐企业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+1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注：①企业得分= C*(B+S+R+D+I+M)，总分为100分。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 w:eastAsia="宋体" w:cs="宋体"/>
          <w:color w:val="FF0000"/>
          <w:kern w:val="2"/>
          <w:sz w:val="24"/>
          <w:szCs w:val="24"/>
          <w:lang w:val="en-US" w:eastAsia="zh-CN" w:bidi="ar-SA"/>
        </w:rPr>
        <w:t>如果您对以上资料有什么不明白的地方</w:t>
      </w:r>
      <w:r>
        <w:rPr>
          <w:rFonts w:hint="eastAsia" w:ascii="宋体" w:hAnsi="宋体" w:cs="宋体"/>
          <w:color w:val="FF0000"/>
          <w:kern w:val="2"/>
          <w:sz w:val="24"/>
          <w:szCs w:val="24"/>
          <w:lang w:val="en-US" w:eastAsia="zh-CN" w:bidi="ar-SA"/>
        </w:rPr>
        <w:t>请拨打咨询电话：0755-36536508。</w:t>
      </w:r>
      <w:bookmarkStart w:id="4" w:name="_GoBack"/>
      <w:bookmarkEnd w:id="4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187A"/>
    <w:rsid w:val="0000292C"/>
    <w:rsid w:val="0003187A"/>
    <w:rsid w:val="00050F53"/>
    <w:rsid w:val="00055760"/>
    <w:rsid w:val="0007419A"/>
    <w:rsid w:val="000856A2"/>
    <w:rsid w:val="00087B19"/>
    <w:rsid w:val="000A34C7"/>
    <w:rsid w:val="000B36D4"/>
    <w:rsid w:val="000B4F28"/>
    <w:rsid w:val="000E1CAE"/>
    <w:rsid w:val="00142DC0"/>
    <w:rsid w:val="0017300A"/>
    <w:rsid w:val="00194F7E"/>
    <w:rsid w:val="00201A0A"/>
    <w:rsid w:val="00207CD6"/>
    <w:rsid w:val="00212896"/>
    <w:rsid w:val="002455C6"/>
    <w:rsid w:val="00271CF2"/>
    <w:rsid w:val="00275573"/>
    <w:rsid w:val="0028175A"/>
    <w:rsid w:val="002A2859"/>
    <w:rsid w:val="002C2E68"/>
    <w:rsid w:val="002D56A2"/>
    <w:rsid w:val="00300A33"/>
    <w:rsid w:val="00311AF5"/>
    <w:rsid w:val="0032307B"/>
    <w:rsid w:val="003820D0"/>
    <w:rsid w:val="003C2CD5"/>
    <w:rsid w:val="003C7210"/>
    <w:rsid w:val="003F43E4"/>
    <w:rsid w:val="004334F8"/>
    <w:rsid w:val="00437C01"/>
    <w:rsid w:val="004471B8"/>
    <w:rsid w:val="00450FD1"/>
    <w:rsid w:val="00481214"/>
    <w:rsid w:val="00481F2B"/>
    <w:rsid w:val="00494B4F"/>
    <w:rsid w:val="004A5B92"/>
    <w:rsid w:val="004A60C0"/>
    <w:rsid w:val="004B5E6E"/>
    <w:rsid w:val="00502E2C"/>
    <w:rsid w:val="005206C5"/>
    <w:rsid w:val="00585418"/>
    <w:rsid w:val="005D55C7"/>
    <w:rsid w:val="005E46F2"/>
    <w:rsid w:val="00663A8F"/>
    <w:rsid w:val="00697D60"/>
    <w:rsid w:val="006A0B50"/>
    <w:rsid w:val="006B6512"/>
    <w:rsid w:val="006B6E53"/>
    <w:rsid w:val="006C1553"/>
    <w:rsid w:val="006F7210"/>
    <w:rsid w:val="00734900"/>
    <w:rsid w:val="007477E9"/>
    <w:rsid w:val="00751330"/>
    <w:rsid w:val="00754FD4"/>
    <w:rsid w:val="00757B75"/>
    <w:rsid w:val="0077305A"/>
    <w:rsid w:val="00783AE1"/>
    <w:rsid w:val="00786B57"/>
    <w:rsid w:val="007A2693"/>
    <w:rsid w:val="007B67E2"/>
    <w:rsid w:val="007C105C"/>
    <w:rsid w:val="00815008"/>
    <w:rsid w:val="00835E98"/>
    <w:rsid w:val="008373E2"/>
    <w:rsid w:val="008752B0"/>
    <w:rsid w:val="008942D8"/>
    <w:rsid w:val="008A31AD"/>
    <w:rsid w:val="008B2610"/>
    <w:rsid w:val="008B5825"/>
    <w:rsid w:val="008C53C0"/>
    <w:rsid w:val="008C54DF"/>
    <w:rsid w:val="008D3B15"/>
    <w:rsid w:val="008D4BD0"/>
    <w:rsid w:val="008E26B8"/>
    <w:rsid w:val="00936A7A"/>
    <w:rsid w:val="00966979"/>
    <w:rsid w:val="00967092"/>
    <w:rsid w:val="009A6844"/>
    <w:rsid w:val="009B29BC"/>
    <w:rsid w:val="009B62B4"/>
    <w:rsid w:val="009F6CBC"/>
    <w:rsid w:val="00A138E3"/>
    <w:rsid w:val="00A262E9"/>
    <w:rsid w:val="00A31675"/>
    <w:rsid w:val="00A47DF8"/>
    <w:rsid w:val="00A5631E"/>
    <w:rsid w:val="00A91E93"/>
    <w:rsid w:val="00AB54B1"/>
    <w:rsid w:val="00AB6534"/>
    <w:rsid w:val="00AC5741"/>
    <w:rsid w:val="00AE6D31"/>
    <w:rsid w:val="00B071AD"/>
    <w:rsid w:val="00B35D62"/>
    <w:rsid w:val="00B3652F"/>
    <w:rsid w:val="00B63F6C"/>
    <w:rsid w:val="00B66E40"/>
    <w:rsid w:val="00B72646"/>
    <w:rsid w:val="00B87E28"/>
    <w:rsid w:val="00BA6883"/>
    <w:rsid w:val="00BC560D"/>
    <w:rsid w:val="00BD78D7"/>
    <w:rsid w:val="00C10A94"/>
    <w:rsid w:val="00C34346"/>
    <w:rsid w:val="00C67396"/>
    <w:rsid w:val="00C76737"/>
    <w:rsid w:val="00C84471"/>
    <w:rsid w:val="00C875BB"/>
    <w:rsid w:val="00C90CCD"/>
    <w:rsid w:val="00C96AFC"/>
    <w:rsid w:val="00CB772C"/>
    <w:rsid w:val="00CF18DE"/>
    <w:rsid w:val="00CF70FC"/>
    <w:rsid w:val="00D27509"/>
    <w:rsid w:val="00D4558A"/>
    <w:rsid w:val="00D6278D"/>
    <w:rsid w:val="00DA6DB4"/>
    <w:rsid w:val="00DB07C1"/>
    <w:rsid w:val="00DB6C64"/>
    <w:rsid w:val="00DB6F15"/>
    <w:rsid w:val="00DC0A08"/>
    <w:rsid w:val="00DD486E"/>
    <w:rsid w:val="00DE322E"/>
    <w:rsid w:val="00DF5E25"/>
    <w:rsid w:val="00E23824"/>
    <w:rsid w:val="00E24BF4"/>
    <w:rsid w:val="00E30A63"/>
    <w:rsid w:val="00E32DB4"/>
    <w:rsid w:val="00E56B6B"/>
    <w:rsid w:val="00E83EB3"/>
    <w:rsid w:val="00EA174C"/>
    <w:rsid w:val="00ED1E91"/>
    <w:rsid w:val="00EE0488"/>
    <w:rsid w:val="00EE7C1D"/>
    <w:rsid w:val="00F0110C"/>
    <w:rsid w:val="00F20BDF"/>
    <w:rsid w:val="00F334DE"/>
    <w:rsid w:val="00F36285"/>
    <w:rsid w:val="00F4154B"/>
    <w:rsid w:val="00F66133"/>
    <w:rsid w:val="00F81338"/>
    <w:rsid w:val="00F81CB6"/>
    <w:rsid w:val="00FF2EBB"/>
    <w:rsid w:val="68C1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semiHidden/>
    <w:unhideWhenUsed/>
    <w:uiPriority w:val="99"/>
    <w:rPr>
      <w:rFonts w:ascii="宋体"/>
      <w:sz w:val="18"/>
      <w:szCs w:val="18"/>
    </w:rPr>
  </w:style>
  <w:style w:type="paragraph" w:styleId="3">
    <w:name w:val="Plain Text"/>
    <w:basedOn w:val="1"/>
    <w:link w:val="12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Body Text Indent 2"/>
    <w:basedOn w:val="1"/>
    <w:link w:val="13"/>
    <w:uiPriority w:val="0"/>
    <w:pPr>
      <w:spacing w:after="120" w:line="480" w:lineRule="auto"/>
      <w:ind w:left="420" w:leftChars="200"/>
    </w:pPr>
    <w:rPr>
      <w:rFonts w:ascii="Times New Roman" w:hAnsi="Times New Roman"/>
      <w:szCs w:val="24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6">
    <w:name w:val="header"/>
    <w:basedOn w:val="1"/>
    <w:link w:val="1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table" w:styleId="10">
    <w:name w:val="Table Grid"/>
    <w:basedOn w:val="9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脚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纯文本 Char"/>
    <w:basedOn w:val="7"/>
    <w:link w:val="3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正文文本缩进 2 Char"/>
    <w:basedOn w:val="7"/>
    <w:link w:val="4"/>
    <w:uiPriority w:val="0"/>
    <w:rPr>
      <w:rFonts w:ascii="Times New Roman" w:hAnsi="Times New Roman" w:eastAsia="宋体" w:cs="Times New Roman"/>
      <w:szCs w:val="24"/>
    </w:rPr>
  </w:style>
  <w:style w:type="paragraph" w:customStyle="1" w:styleId="14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15">
    <w:name w:val="文档结构图 Char"/>
    <w:basedOn w:val="7"/>
    <w:link w:val="2"/>
    <w:semiHidden/>
    <w:uiPriority w:val="99"/>
    <w:rPr>
      <w:rFonts w:ascii="宋体" w:hAnsi="Calibri" w:eastAsia="宋体" w:cs="Times New Roman"/>
      <w:sz w:val="18"/>
      <w:szCs w:val="18"/>
    </w:rPr>
  </w:style>
  <w:style w:type="character" w:customStyle="1" w:styleId="16">
    <w:name w:val="页眉 Char"/>
    <w:basedOn w:val="7"/>
    <w:link w:val="6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459</Words>
  <Characters>2620</Characters>
  <Lines>21</Lines>
  <Paragraphs>6</Paragraphs>
  <TotalTime>0</TotalTime>
  <ScaleCrop>false</ScaleCrop>
  <LinksUpToDate>false</LinksUpToDate>
  <CharactersWithSpaces>3073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2018-04-26T09:08:00Z</dcterms:created>
  <dc:creator>委对外发文</dc:creator>
  <cp:lastModifiedBy>敏敏</cp:lastModifiedBy>
  <cp:lastPrinted>2018-03-29T06:36:00Z</cp:lastPrinted>
  <dcterms:modified xsi:type="dcterms:W3CDTF">2018-05-17T03:08:33Z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